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365A778E"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1731DA">
        <w:t>Po</w:t>
      </w:r>
      <w:r w:rsidR="00675118">
        <w:t>lysomnography</w:t>
      </w:r>
      <w:r>
        <w:t xml:space="preserve"> Advisory Committee starting at </w:t>
      </w:r>
      <w:r w:rsidR="00675118">
        <w:t>11</w:t>
      </w:r>
      <w:r>
        <w:t>:</w:t>
      </w:r>
      <w:r w:rsidR="00793190">
        <w:t>0</w:t>
      </w:r>
      <w:r>
        <w:t xml:space="preserve">0 </w:t>
      </w:r>
      <w:r w:rsidR="00675118">
        <w:t>a</w:t>
      </w:r>
      <w:r>
        <w:t xml:space="preserve">.m., </w:t>
      </w:r>
      <w:r w:rsidR="00675118">
        <w:t>Fri</w:t>
      </w:r>
      <w:r w:rsidR="008C4E90">
        <w:t>day</w:t>
      </w:r>
      <w:r>
        <w:t xml:space="preserve">, </w:t>
      </w:r>
      <w:r w:rsidR="00614E37">
        <w:t>February</w:t>
      </w:r>
      <w:r>
        <w:t xml:space="preserve"> </w:t>
      </w:r>
      <w:r w:rsidR="001F7938">
        <w:t>1</w:t>
      </w:r>
      <w:r w:rsidR="00675118">
        <w:t>7</w:t>
      </w:r>
      <w:r>
        <w:t>, 202</w:t>
      </w:r>
      <w:r w:rsidR="00793190">
        <w:t>3</w:t>
      </w:r>
      <w:r>
        <w:t xml:space="preserve">, at the offices of the Board, 630 Camp Street, New Orleans, Louisiana. </w:t>
      </w:r>
      <w:r w:rsidR="00816F8F" w:rsidRPr="00816F8F">
        <w:t xml:space="preserve"> </w:t>
      </w:r>
      <w:r w:rsidR="00816F8F">
        <w:t>Pursuant to La. R.S. 42:17.3 and Act 408 of the 2022 Regular Session, the</w:t>
      </w:r>
      <w:r w:rsidR="007B291A">
        <w:t xml:space="preserve"> </w:t>
      </w:r>
      <w:r w:rsidR="008C4E90">
        <w:t>Po</w:t>
      </w:r>
      <w:r w:rsidR="00675118">
        <w:t>lysomnography</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4ED5225B"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r w:rsidR="00513707">
        <w:t>YouTube</w:t>
      </w:r>
      <w:r>
        <w:t>, please go to</w:t>
      </w:r>
      <w:r>
        <w:rPr>
          <w:spacing w:val="-1"/>
        </w:rPr>
        <w:t xml:space="preserve"> </w:t>
      </w:r>
      <w:r>
        <w:t xml:space="preserve">the website at </w:t>
      </w:r>
      <w:hyperlink r:id="rId5">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8C4E90">
        <w:t>Po</w:t>
      </w:r>
      <w:r w:rsidR="00675118">
        <w:t>lysomnography</w:t>
      </w:r>
      <w:r>
        <w:t xml:space="preserve">” where a </w:t>
      </w:r>
      <w:r w:rsidR="00513707">
        <w:t>YouTube</w:t>
      </w:r>
      <w:r>
        <w:t xml:space="preserv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6">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7">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in order to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48BB836B"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§42:17A(1),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8">
        <w:r w:rsidRPr="00513707">
          <w:rPr>
            <w:sz w:val="20"/>
          </w:rPr>
          <w:t>R.S.</w:t>
        </w:r>
      </w:hyperlink>
      <w:r w:rsidRPr="00513707">
        <w:rPr>
          <w:sz w:val="20"/>
        </w:rPr>
        <w:t xml:space="preserve"> 42:16 for </w:t>
      </w:r>
      <w:r>
        <w:rPr>
          <w:sz w:val="20"/>
        </w:rPr>
        <w:t xml:space="preserve">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w:t>
      </w:r>
      <w:r w:rsidR="00513707">
        <w:rPr>
          <w:sz w:val="20"/>
        </w:rPr>
        <w:t>the</w:t>
      </w:r>
      <w:r>
        <w:rPr>
          <w:sz w:val="20"/>
        </w:rPr>
        <w:t xml:space="preserv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13145E"/>
    <w:rsid w:val="0013597F"/>
    <w:rsid w:val="001731DA"/>
    <w:rsid w:val="001F7938"/>
    <w:rsid w:val="00241360"/>
    <w:rsid w:val="00264078"/>
    <w:rsid w:val="00297C12"/>
    <w:rsid w:val="00312301"/>
    <w:rsid w:val="00423D79"/>
    <w:rsid w:val="00513707"/>
    <w:rsid w:val="00532F1E"/>
    <w:rsid w:val="00614E37"/>
    <w:rsid w:val="00642ACC"/>
    <w:rsid w:val="00675118"/>
    <w:rsid w:val="00793190"/>
    <w:rsid w:val="007B291A"/>
    <w:rsid w:val="00816F8F"/>
    <w:rsid w:val="008265AD"/>
    <w:rsid w:val="008C4E90"/>
    <w:rsid w:val="00B41ED3"/>
    <w:rsid w:val="00BB29C3"/>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settings" Target="settings.xml"/><Relationship Id="rId7" Type="http://schemas.openxmlformats.org/officeDocument/2006/relationships/hyperlink" Target="mailto:publiccomment@lsbme.l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comment@lsbme.la.gov" TargetMode="External"/><Relationship Id="rId5" Type="http://schemas.openxmlformats.org/officeDocument/2006/relationships/hyperlink" Target="http://www.lsbme.l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4475-465C-4FEF-9A8C-A80CDD4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2</cp:revision>
  <cp:lastPrinted>2023-02-10T17:00:00Z</cp:lastPrinted>
  <dcterms:created xsi:type="dcterms:W3CDTF">2023-02-10T17:59:00Z</dcterms:created>
  <dcterms:modified xsi:type="dcterms:W3CDTF">2023-02-10T17:59:00Z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